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CA" w:rsidRPr="009C1EB0" w:rsidRDefault="00DC49CA" w:rsidP="00DC49CA">
      <w:pPr>
        <w:ind w:firstLine="708"/>
        <w:rPr>
          <w:rFonts w:ascii="Times New Roman" w:hAnsi="Times New Roman" w:cs="Times New Roman"/>
          <w:b/>
          <w:sz w:val="20"/>
          <w:szCs w:val="20"/>
        </w:rPr>
      </w:pPr>
      <w:r>
        <w:rPr>
          <w:rFonts w:ascii="Times New Roman" w:hAnsi="Times New Roman" w:cs="Times New Roman"/>
          <w:b/>
          <w:color w:val="222222"/>
          <w:sz w:val="20"/>
          <w:szCs w:val="20"/>
        </w:rPr>
        <w:t>Um debate postiço</w:t>
      </w:r>
    </w:p>
    <w:p w:rsidR="00DC49CA" w:rsidRDefault="00DC49CA" w:rsidP="00DC49CA">
      <w:pPr>
        <w:spacing w:after="0" w:line="240" w:lineRule="auto"/>
        <w:ind w:firstLine="708"/>
        <w:jc w:val="both"/>
        <w:rPr>
          <w:rFonts w:ascii="Times New Roman" w:hAnsi="Times New Roman" w:cs="Times New Roman"/>
          <w:sz w:val="20"/>
          <w:szCs w:val="20"/>
        </w:rPr>
      </w:pPr>
      <w:r w:rsidRPr="00273246">
        <w:rPr>
          <w:rFonts w:ascii="Times New Roman" w:hAnsi="Times New Roman" w:cs="Times New Roman"/>
          <w:sz w:val="20"/>
          <w:szCs w:val="20"/>
        </w:rPr>
        <w:t>Para intervir num dos debates da actualidade, introduzindo alg</w:t>
      </w:r>
      <w:r>
        <w:rPr>
          <w:rFonts w:ascii="Times New Roman" w:hAnsi="Times New Roman" w:cs="Times New Roman"/>
          <w:sz w:val="20"/>
          <w:szCs w:val="20"/>
        </w:rPr>
        <w:t>o de</w:t>
      </w:r>
      <w:r w:rsidRPr="00273246">
        <w:rPr>
          <w:rFonts w:ascii="Times New Roman" w:hAnsi="Times New Roman" w:cs="Times New Roman"/>
          <w:sz w:val="20"/>
          <w:szCs w:val="20"/>
        </w:rPr>
        <w:t xml:space="preserve"> diferente</w:t>
      </w:r>
      <w:r>
        <w:rPr>
          <w:rFonts w:ascii="Times New Roman" w:hAnsi="Times New Roman" w:cs="Times New Roman"/>
          <w:sz w:val="20"/>
          <w:szCs w:val="20"/>
        </w:rPr>
        <w:t xml:space="preserve"> no espaço público</w:t>
      </w:r>
      <w:r w:rsidRPr="00273246">
        <w:rPr>
          <w:rFonts w:ascii="Times New Roman" w:hAnsi="Times New Roman" w:cs="Times New Roman"/>
          <w:sz w:val="20"/>
          <w:szCs w:val="20"/>
        </w:rPr>
        <w:t>, centrar-me-ei hoje sobre a</w:t>
      </w:r>
      <w:r>
        <w:rPr>
          <w:rFonts w:ascii="Times New Roman" w:hAnsi="Times New Roman" w:cs="Times New Roman"/>
          <w:sz w:val="20"/>
          <w:szCs w:val="20"/>
        </w:rPr>
        <w:t>s</w:t>
      </w:r>
      <w:r w:rsidRPr="00273246">
        <w:rPr>
          <w:rFonts w:ascii="Times New Roman" w:hAnsi="Times New Roman" w:cs="Times New Roman"/>
          <w:sz w:val="20"/>
          <w:szCs w:val="20"/>
        </w:rPr>
        <w:t xml:space="preserve"> Directiva</w:t>
      </w:r>
      <w:r>
        <w:rPr>
          <w:rFonts w:ascii="Times New Roman" w:hAnsi="Times New Roman" w:cs="Times New Roman"/>
          <w:sz w:val="20"/>
          <w:szCs w:val="20"/>
        </w:rPr>
        <w:t>s</w:t>
      </w:r>
      <w:r w:rsidRPr="00273246">
        <w:rPr>
          <w:rFonts w:ascii="Times New Roman" w:hAnsi="Times New Roman" w:cs="Times New Roman"/>
          <w:sz w:val="20"/>
          <w:szCs w:val="20"/>
        </w:rPr>
        <w:t xml:space="preserve"> Antecipada</w:t>
      </w:r>
      <w:r>
        <w:rPr>
          <w:rFonts w:ascii="Times New Roman" w:hAnsi="Times New Roman" w:cs="Times New Roman"/>
          <w:sz w:val="20"/>
          <w:szCs w:val="20"/>
        </w:rPr>
        <w:t>s</w:t>
      </w:r>
      <w:r w:rsidRPr="00273246">
        <w:rPr>
          <w:rFonts w:ascii="Times New Roman" w:hAnsi="Times New Roman" w:cs="Times New Roman"/>
          <w:sz w:val="20"/>
          <w:szCs w:val="20"/>
        </w:rPr>
        <w:t xml:space="preserve"> de Vontade/DAV, </w:t>
      </w:r>
      <w:r>
        <w:rPr>
          <w:rFonts w:ascii="Times New Roman" w:hAnsi="Times New Roman" w:cs="Times New Roman"/>
          <w:sz w:val="20"/>
          <w:szCs w:val="20"/>
        </w:rPr>
        <w:t xml:space="preserve">isto é, a prerrogativa disponível a todos </w:t>
      </w:r>
      <w:r w:rsidRPr="00273246">
        <w:rPr>
          <w:rFonts w:ascii="Times New Roman" w:hAnsi="Times New Roman" w:cs="Times New Roman"/>
          <w:sz w:val="20"/>
          <w:szCs w:val="20"/>
        </w:rPr>
        <w:t>o</w:t>
      </w:r>
      <w:r>
        <w:rPr>
          <w:rFonts w:ascii="Times New Roman" w:hAnsi="Times New Roman" w:cs="Times New Roman"/>
          <w:sz w:val="20"/>
          <w:szCs w:val="20"/>
        </w:rPr>
        <w:t>s cidadãos</w:t>
      </w:r>
      <w:r>
        <w:rPr>
          <w:rStyle w:val="st1"/>
          <w:rFonts w:ascii="Times New Roman" w:hAnsi="Times New Roman" w:cs="Times New Roman"/>
          <w:sz w:val="20"/>
          <w:szCs w:val="20"/>
        </w:rPr>
        <w:t>, maiores de idade e conscientes dos seus actos,</w:t>
      </w:r>
      <w:r w:rsidRPr="00273246">
        <w:rPr>
          <w:rFonts w:ascii="Times New Roman" w:hAnsi="Times New Roman" w:cs="Times New Roman"/>
          <w:sz w:val="20"/>
          <w:szCs w:val="20"/>
        </w:rPr>
        <w:t xml:space="preserve"> </w:t>
      </w:r>
      <w:r>
        <w:rPr>
          <w:rFonts w:ascii="Times New Roman" w:hAnsi="Times New Roman" w:cs="Times New Roman"/>
          <w:sz w:val="20"/>
          <w:szCs w:val="20"/>
        </w:rPr>
        <w:t>de decidirem</w:t>
      </w:r>
      <w:r w:rsidRPr="00273246">
        <w:rPr>
          <w:rFonts w:ascii="Times New Roman" w:hAnsi="Times New Roman" w:cs="Times New Roman"/>
          <w:sz w:val="20"/>
          <w:szCs w:val="20"/>
        </w:rPr>
        <w:t xml:space="preserve"> </w:t>
      </w:r>
      <w:r>
        <w:rPr>
          <w:rFonts w:ascii="Times New Roman" w:hAnsi="Times New Roman" w:cs="Times New Roman"/>
          <w:sz w:val="20"/>
          <w:szCs w:val="20"/>
        </w:rPr>
        <w:t xml:space="preserve">livremente sobre o tipo de </w:t>
      </w:r>
      <w:r w:rsidRPr="00273246">
        <w:rPr>
          <w:rFonts w:ascii="Times New Roman" w:hAnsi="Times New Roman" w:cs="Times New Roman"/>
          <w:sz w:val="20"/>
          <w:szCs w:val="20"/>
        </w:rPr>
        <w:t>cuidados de saúde que deseja</w:t>
      </w:r>
      <w:r>
        <w:rPr>
          <w:rFonts w:ascii="Times New Roman" w:hAnsi="Times New Roman" w:cs="Times New Roman"/>
          <w:sz w:val="20"/>
          <w:szCs w:val="20"/>
        </w:rPr>
        <w:t>m</w:t>
      </w:r>
      <w:r w:rsidRPr="00273246">
        <w:rPr>
          <w:rFonts w:ascii="Times New Roman" w:hAnsi="Times New Roman" w:cs="Times New Roman"/>
          <w:sz w:val="20"/>
          <w:szCs w:val="20"/>
        </w:rPr>
        <w:t xml:space="preserve"> e/ou recusa</w:t>
      </w:r>
      <w:r>
        <w:rPr>
          <w:rFonts w:ascii="Times New Roman" w:hAnsi="Times New Roman" w:cs="Times New Roman"/>
          <w:sz w:val="20"/>
          <w:szCs w:val="20"/>
        </w:rPr>
        <w:t>m</w:t>
      </w:r>
      <w:r w:rsidRPr="00273246">
        <w:rPr>
          <w:rFonts w:ascii="Times New Roman" w:hAnsi="Times New Roman" w:cs="Times New Roman"/>
          <w:sz w:val="20"/>
          <w:szCs w:val="20"/>
        </w:rPr>
        <w:t xml:space="preserve"> receber numa eventual futura situação de doença, </w:t>
      </w:r>
      <w:r>
        <w:rPr>
          <w:rFonts w:ascii="Times New Roman" w:hAnsi="Times New Roman" w:cs="Times New Roman"/>
          <w:sz w:val="20"/>
          <w:szCs w:val="20"/>
        </w:rPr>
        <w:t xml:space="preserve">e </w:t>
      </w:r>
      <w:r w:rsidRPr="00273246">
        <w:rPr>
          <w:rFonts w:ascii="Times New Roman" w:hAnsi="Times New Roman" w:cs="Times New Roman"/>
          <w:sz w:val="20"/>
          <w:szCs w:val="20"/>
        </w:rPr>
        <w:t>em que já não seja</w:t>
      </w:r>
      <w:r>
        <w:rPr>
          <w:rFonts w:ascii="Times New Roman" w:hAnsi="Times New Roman" w:cs="Times New Roman"/>
          <w:sz w:val="20"/>
          <w:szCs w:val="20"/>
        </w:rPr>
        <w:t>m</w:t>
      </w:r>
      <w:r w:rsidRPr="00273246">
        <w:rPr>
          <w:rFonts w:ascii="Times New Roman" w:hAnsi="Times New Roman" w:cs="Times New Roman"/>
          <w:sz w:val="20"/>
          <w:szCs w:val="20"/>
        </w:rPr>
        <w:t xml:space="preserve"> c</w:t>
      </w:r>
      <w:r>
        <w:rPr>
          <w:rFonts w:ascii="Times New Roman" w:hAnsi="Times New Roman" w:cs="Times New Roman"/>
          <w:sz w:val="20"/>
          <w:szCs w:val="20"/>
        </w:rPr>
        <w:t>apazes de exprimir a sua vontade. Enquanto estiverem em condições de decidir por si mesmos sobre si próprios podem sempre fazê-lo, perante qualquer profissional de saúde.</w:t>
      </w:r>
    </w:p>
    <w:p w:rsidR="00DC49CA" w:rsidRDefault="00DC49CA" w:rsidP="00DC49CA">
      <w:pPr>
        <w:spacing w:after="0" w:line="240" w:lineRule="auto"/>
        <w:ind w:firstLine="708"/>
        <w:jc w:val="both"/>
        <w:rPr>
          <w:rStyle w:val="st1"/>
          <w:rFonts w:ascii="Times New Roman" w:hAnsi="Times New Roman" w:cs="Times New Roman"/>
          <w:sz w:val="20"/>
          <w:szCs w:val="20"/>
        </w:rPr>
      </w:pPr>
      <w:r>
        <w:rPr>
          <w:rFonts w:ascii="Times New Roman" w:hAnsi="Times New Roman" w:cs="Times New Roman"/>
          <w:sz w:val="20"/>
          <w:szCs w:val="20"/>
        </w:rPr>
        <w:t xml:space="preserve">As DAV foram estabelecidas em Portugal pela </w:t>
      </w:r>
      <w:r w:rsidRPr="00AD3AD2">
        <w:rPr>
          <w:rStyle w:val="nfase"/>
          <w:rFonts w:ascii="Times New Roman" w:hAnsi="Times New Roman" w:cs="Times New Roman"/>
          <w:sz w:val="20"/>
          <w:szCs w:val="20"/>
        </w:rPr>
        <w:t>Lei</w:t>
      </w:r>
      <w:r w:rsidRPr="00AD3AD2">
        <w:rPr>
          <w:rStyle w:val="st1"/>
          <w:rFonts w:ascii="Times New Roman" w:hAnsi="Times New Roman" w:cs="Times New Roman"/>
          <w:sz w:val="20"/>
          <w:szCs w:val="20"/>
        </w:rPr>
        <w:t xml:space="preserve"> </w:t>
      </w:r>
      <w:r>
        <w:rPr>
          <w:rStyle w:val="st1"/>
          <w:rFonts w:ascii="Times New Roman" w:hAnsi="Times New Roman" w:cs="Times New Roman"/>
          <w:sz w:val="20"/>
          <w:szCs w:val="20"/>
        </w:rPr>
        <w:t>n.º 25/2012, a qual prevê que as decisões livres dos cidadãos em relação ao seu fim de vida possam assumir a forma de T</w:t>
      </w:r>
      <w:r w:rsidRPr="00273246">
        <w:rPr>
          <w:rStyle w:val="st1"/>
          <w:rFonts w:ascii="Times New Roman" w:hAnsi="Times New Roman" w:cs="Times New Roman"/>
          <w:sz w:val="20"/>
          <w:szCs w:val="20"/>
        </w:rPr>
        <w:t xml:space="preserve">estamento </w:t>
      </w:r>
      <w:r>
        <w:rPr>
          <w:rStyle w:val="st1"/>
          <w:rFonts w:ascii="Times New Roman" w:hAnsi="Times New Roman" w:cs="Times New Roman"/>
          <w:sz w:val="20"/>
          <w:szCs w:val="20"/>
        </w:rPr>
        <w:t>V</w:t>
      </w:r>
      <w:r w:rsidRPr="00273246">
        <w:rPr>
          <w:rStyle w:val="st1"/>
          <w:rFonts w:ascii="Times New Roman" w:hAnsi="Times New Roman" w:cs="Times New Roman"/>
          <w:sz w:val="20"/>
          <w:szCs w:val="20"/>
        </w:rPr>
        <w:t xml:space="preserve">ital, </w:t>
      </w:r>
      <w:r>
        <w:rPr>
          <w:rStyle w:val="st1"/>
          <w:rFonts w:ascii="Times New Roman" w:hAnsi="Times New Roman" w:cs="Times New Roman"/>
          <w:sz w:val="20"/>
          <w:szCs w:val="20"/>
        </w:rPr>
        <w:t xml:space="preserve">de </w:t>
      </w:r>
      <w:r w:rsidRPr="00273246">
        <w:rPr>
          <w:rStyle w:val="st1"/>
          <w:rFonts w:ascii="Times New Roman" w:hAnsi="Times New Roman" w:cs="Times New Roman"/>
          <w:sz w:val="20"/>
          <w:szCs w:val="20"/>
        </w:rPr>
        <w:t xml:space="preserve">nomeação de </w:t>
      </w:r>
      <w:r>
        <w:rPr>
          <w:rStyle w:val="st1"/>
          <w:rFonts w:ascii="Times New Roman" w:hAnsi="Times New Roman" w:cs="Times New Roman"/>
          <w:sz w:val="20"/>
          <w:szCs w:val="20"/>
        </w:rPr>
        <w:t xml:space="preserve">um Procurador de Saúde, ou ainda de ambas simultaneamente – o que é já revelador da ampla diversidade de meios acessíveis ao cidadão para manifestar a sua vontade no seu processo de morte. Através do Testamento vital o cidadão pode escrever a sua vontade em documento reconhecido pelo notário e mantê-lo </w:t>
      </w:r>
      <w:proofErr w:type="gramStart"/>
      <w:r>
        <w:rPr>
          <w:rStyle w:val="st1"/>
          <w:rFonts w:ascii="Times New Roman" w:hAnsi="Times New Roman" w:cs="Times New Roman"/>
          <w:sz w:val="20"/>
          <w:szCs w:val="20"/>
        </w:rPr>
        <w:t>consigo</w:t>
      </w:r>
      <w:proofErr w:type="gramEnd"/>
      <w:r>
        <w:rPr>
          <w:rStyle w:val="st1"/>
          <w:rFonts w:ascii="Times New Roman" w:hAnsi="Times New Roman" w:cs="Times New Roman"/>
          <w:sz w:val="20"/>
          <w:szCs w:val="20"/>
        </w:rPr>
        <w:t>; pode também, de forma mais simples e eficaz, preencher o formulário das DAV, reconhecendo a assinatura no notário ou realizando-a perante um funcionário do Registo Nacional de Testemunho Vital/RENTEV a quem entrega o documento que se torna assim acessível ao seu médico assistente numa situação de dúvida acerca dos procedimentos desejados. O cidadão pode também nomear um familiar, um amigo ou outro como seu Procurador de Saúde, delegando assim em quem confia as suas decisões sobre os cuidados desejados ou rejeitados.</w:t>
      </w:r>
    </w:p>
    <w:p w:rsidR="00DC49CA" w:rsidRDefault="00DC49CA" w:rsidP="00DC49CA">
      <w:pPr>
        <w:spacing w:after="0" w:line="240" w:lineRule="auto"/>
        <w:ind w:firstLine="708"/>
        <w:jc w:val="both"/>
        <w:rPr>
          <w:rStyle w:val="st1"/>
          <w:rFonts w:ascii="Times New Roman" w:hAnsi="Times New Roman" w:cs="Times New Roman"/>
          <w:sz w:val="20"/>
          <w:szCs w:val="20"/>
        </w:rPr>
      </w:pPr>
      <w:r>
        <w:rPr>
          <w:rStyle w:val="st1"/>
          <w:rFonts w:ascii="Times New Roman" w:hAnsi="Times New Roman" w:cs="Times New Roman"/>
          <w:sz w:val="20"/>
          <w:szCs w:val="20"/>
        </w:rPr>
        <w:t>As duas modalidades apresentam vantagens e desvantagens, o que poderá justificar a opção pela modalidade mista. O Testamento Vital corresponde à decisão assumida do próprio para uma determinada circunstância, tomada num determinado momento. Ora, posteriormente, a situação de doença pode não ser bem a descrita e novos meios terapêuticos podem ter surgido. Neste caso, o Procurador de Saúde toma uma decisão mais informada. Porém, nunca ninguém se pode colocar na posição do outro, pelo que a decisão do Procurador pode não corresponder à que o próprio tomaria então.</w:t>
      </w:r>
    </w:p>
    <w:p w:rsidR="00DC49CA" w:rsidRDefault="00DC49CA" w:rsidP="00DC49CA">
      <w:pPr>
        <w:spacing w:after="0" w:line="240" w:lineRule="auto"/>
        <w:ind w:firstLine="708"/>
        <w:jc w:val="both"/>
        <w:rPr>
          <w:rStyle w:val="st1"/>
          <w:rFonts w:ascii="Times New Roman" w:hAnsi="Times New Roman" w:cs="Times New Roman"/>
          <w:sz w:val="20"/>
          <w:szCs w:val="20"/>
        </w:rPr>
      </w:pPr>
      <w:r>
        <w:rPr>
          <w:rStyle w:val="st1"/>
          <w:rFonts w:ascii="Times New Roman" w:hAnsi="Times New Roman" w:cs="Times New Roman"/>
          <w:sz w:val="20"/>
          <w:szCs w:val="20"/>
        </w:rPr>
        <w:t xml:space="preserve">Além desta diversidade de meios contemplados pela lei portuguesa e mesmo da sua flexibilidade de aplicação respondendo extensamente às conveniências de cada cidadão, as DAV também são bastante abrangentes no que se refere aos direitos reconhecidos ao cidadão. Com efeito, no conspecto internacional, as </w:t>
      </w:r>
      <w:proofErr w:type="spellStart"/>
      <w:r>
        <w:rPr>
          <w:rStyle w:val="st1"/>
          <w:rFonts w:ascii="Times New Roman" w:hAnsi="Times New Roman" w:cs="Times New Roman"/>
          <w:sz w:val="20"/>
          <w:szCs w:val="20"/>
        </w:rPr>
        <w:t>DAVs</w:t>
      </w:r>
      <w:proofErr w:type="spellEnd"/>
      <w:r>
        <w:rPr>
          <w:rStyle w:val="st1"/>
          <w:rFonts w:ascii="Times New Roman" w:hAnsi="Times New Roman" w:cs="Times New Roman"/>
          <w:sz w:val="20"/>
          <w:szCs w:val="20"/>
        </w:rPr>
        <w:t xml:space="preserve"> portuguesas são das mais liberais permitindo um exercício muito amplo da autonomia do doente na possibilidade de recusa, por exemplo, de “</w:t>
      </w:r>
      <w:r w:rsidRPr="0045485C">
        <w:rPr>
          <w:rStyle w:val="st1"/>
          <w:rFonts w:ascii="Times New Roman" w:hAnsi="Times New Roman" w:cs="Times New Roman"/>
          <w:sz w:val="20"/>
          <w:szCs w:val="20"/>
        </w:rPr>
        <w:t>meios invasivos de suporte artificial de funções vitais</w:t>
      </w:r>
      <w:r>
        <w:rPr>
          <w:rStyle w:val="st1"/>
          <w:rFonts w:ascii="Times New Roman" w:hAnsi="Times New Roman" w:cs="Times New Roman"/>
          <w:sz w:val="20"/>
          <w:szCs w:val="20"/>
        </w:rPr>
        <w:t>”, “</w:t>
      </w:r>
      <w:r w:rsidRPr="0045485C">
        <w:rPr>
          <w:rStyle w:val="st1"/>
          <w:rFonts w:ascii="Times New Roman" w:hAnsi="Times New Roman" w:cs="Times New Roman"/>
          <w:sz w:val="20"/>
          <w:szCs w:val="20"/>
        </w:rPr>
        <w:t>reanimação cardiorrespiratória</w:t>
      </w:r>
      <w:r>
        <w:rPr>
          <w:rStyle w:val="st1"/>
          <w:rFonts w:ascii="Times New Roman" w:hAnsi="Times New Roman" w:cs="Times New Roman"/>
          <w:sz w:val="20"/>
          <w:szCs w:val="20"/>
        </w:rPr>
        <w:t>”, “</w:t>
      </w:r>
      <w:r w:rsidRPr="0045485C">
        <w:rPr>
          <w:rStyle w:val="st1"/>
          <w:rFonts w:ascii="Times New Roman" w:hAnsi="Times New Roman" w:cs="Times New Roman"/>
          <w:sz w:val="20"/>
          <w:szCs w:val="20"/>
        </w:rPr>
        <w:t>alimentação e hidratação artificiais que apenas visem retardar o processo natural de morte</w:t>
      </w:r>
      <w:r>
        <w:rPr>
          <w:rStyle w:val="st1"/>
          <w:rFonts w:ascii="Times New Roman" w:hAnsi="Times New Roman" w:cs="Times New Roman"/>
          <w:sz w:val="20"/>
          <w:szCs w:val="20"/>
        </w:rPr>
        <w:t>”. O cidadão não pode pedir que o médico o “mate”, mas pode recusar toda a acção que lhe prolonga a vida e pode exigir que o médico o alivie da dor.</w:t>
      </w:r>
    </w:p>
    <w:p w:rsidR="00DC49CA" w:rsidRDefault="00DC49CA" w:rsidP="00DC49CA">
      <w:pPr>
        <w:spacing w:after="0" w:line="240" w:lineRule="auto"/>
        <w:ind w:firstLine="708"/>
        <w:jc w:val="both"/>
        <w:rPr>
          <w:rStyle w:val="st1"/>
          <w:rFonts w:ascii="Times New Roman" w:hAnsi="Times New Roman" w:cs="Times New Roman"/>
          <w:sz w:val="20"/>
          <w:szCs w:val="20"/>
        </w:rPr>
      </w:pPr>
      <w:r>
        <w:rPr>
          <w:rStyle w:val="st1"/>
          <w:rFonts w:ascii="Times New Roman" w:hAnsi="Times New Roman" w:cs="Times New Roman"/>
          <w:sz w:val="20"/>
          <w:szCs w:val="20"/>
        </w:rPr>
        <w:t>O governo esperava que cerca de 20 mil portugueses subscrevessem as DAV nos primeiros 6 meses da sua regulamentação, em 2014, considerando que muitos quereriam escolher o seu próprio processo de morte. Afinal, ainda hoje, não há sequer 7 mil inscritos. Falta de informação suficiente? Talvez. Falta de interesse? Certamente. Esta é apenas uma das razões por que o debate sobre a eutanásia, hoje, entre nós, é postiço.</w:t>
      </w:r>
    </w:p>
    <w:p w:rsidR="00DC49CA" w:rsidRDefault="00DC49CA" w:rsidP="00DC49CA">
      <w:pPr>
        <w:shd w:val="clear" w:color="auto" w:fill="FFFFFF"/>
        <w:spacing w:after="0" w:line="240" w:lineRule="auto"/>
        <w:jc w:val="both"/>
        <w:rPr>
          <w:rFonts w:ascii="Times New Roman" w:eastAsia="Times New Roman" w:hAnsi="Times New Roman" w:cs="Times New Roman"/>
          <w:color w:val="1D2129"/>
          <w:sz w:val="21"/>
          <w:szCs w:val="21"/>
          <w:lang w:eastAsia="pt-PT"/>
        </w:rPr>
      </w:pPr>
    </w:p>
    <w:p w:rsidR="00DC49CA" w:rsidRDefault="00DC49CA" w:rsidP="00DC49CA">
      <w:pPr>
        <w:shd w:val="clear" w:color="auto" w:fill="FFFFFF"/>
        <w:spacing w:after="0" w:line="240" w:lineRule="auto"/>
        <w:jc w:val="both"/>
        <w:rPr>
          <w:rFonts w:ascii="Times New Roman" w:eastAsia="Times New Roman" w:hAnsi="Times New Roman" w:cs="Times New Roman"/>
          <w:color w:val="1D2129"/>
          <w:sz w:val="21"/>
          <w:szCs w:val="21"/>
          <w:lang w:eastAsia="pt-PT"/>
        </w:rPr>
      </w:pPr>
    </w:p>
    <w:p w:rsidR="00DC49CA" w:rsidRPr="004B330B" w:rsidRDefault="00DC49CA" w:rsidP="00DC49CA">
      <w:pPr>
        <w:shd w:val="clear" w:color="auto" w:fill="FFFFFF"/>
        <w:spacing w:after="0" w:line="240" w:lineRule="auto"/>
        <w:jc w:val="right"/>
        <w:rPr>
          <w:rFonts w:ascii="Times New Roman" w:eastAsia="Times New Roman" w:hAnsi="Times New Roman" w:cs="Times New Roman"/>
          <w:i/>
          <w:color w:val="1D2129"/>
          <w:sz w:val="21"/>
          <w:szCs w:val="21"/>
          <w:lang w:eastAsia="pt-PT"/>
        </w:rPr>
      </w:pPr>
      <w:r w:rsidRPr="004B330B">
        <w:rPr>
          <w:rFonts w:ascii="Times New Roman" w:eastAsia="Times New Roman" w:hAnsi="Times New Roman" w:cs="Times New Roman"/>
          <w:i/>
          <w:color w:val="1D2129"/>
          <w:sz w:val="21"/>
          <w:szCs w:val="21"/>
          <w:lang w:eastAsia="pt-PT"/>
        </w:rPr>
        <w:t>M. Patrão Neves</w:t>
      </w:r>
    </w:p>
    <w:p w:rsidR="00DC49CA" w:rsidRPr="004B330B" w:rsidRDefault="00DC49CA" w:rsidP="00DC49CA">
      <w:pPr>
        <w:shd w:val="clear" w:color="auto" w:fill="FFFFFF"/>
        <w:spacing w:after="0" w:line="240" w:lineRule="auto"/>
        <w:jc w:val="right"/>
        <w:rPr>
          <w:rFonts w:ascii="Times New Roman" w:eastAsia="Times New Roman" w:hAnsi="Times New Roman" w:cs="Times New Roman"/>
          <w:color w:val="1D2129"/>
          <w:sz w:val="21"/>
          <w:szCs w:val="21"/>
          <w:lang w:eastAsia="pt-PT"/>
        </w:rPr>
      </w:pPr>
      <w:hyperlink r:id="rId5" w:history="1">
        <w:r w:rsidRPr="008273E2">
          <w:rPr>
            <w:rStyle w:val="Hiperligao"/>
            <w:rFonts w:ascii="Times New Roman" w:eastAsia="Times New Roman" w:hAnsi="Times New Roman" w:cs="Times New Roman"/>
            <w:sz w:val="21"/>
            <w:szCs w:val="21"/>
            <w:lang w:eastAsia="pt-PT"/>
          </w:rPr>
          <w:t>www.mpatraoneves.pt</w:t>
        </w:r>
      </w:hyperlink>
    </w:p>
    <w:p w:rsidR="00A1438F" w:rsidRPr="00DC49CA" w:rsidRDefault="00A1438F" w:rsidP="00DC49CA">
      <w:bookmarkStart w:id="0" w:name="_GoBack"/>
      <w:bookmarkEnd w:id="0"/>
    </w:p>
    <w:sectPr w:rsidR="00A1438F" w:rsidRPr="00DC49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EE"/>
    <w:rsid w:val="00A1438F"/>
    <w:rsid w:val="00DC49CA"/>
    <w:rsid w:val="00DE7FE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Tipodeletrapredefinidodopargrafo"/>
    <w:rsid w:val="00DC49CA"/>
  </w:style>
  <w:style w:type="character" w:styleId="nfase">
    <w:name w:val="Emphasis"/>
    <w:basedOn w:val="Tipodeletrapredefinidodopargrafo"/>
    <w:uiPriority w:val="20"/>
    <w:qFormat/>
    <w:rsid w:val="00DC49CA"/>
    <w:rPr>
      <w:b/>
      <w:bCs/>
      <w:i w:val="0"/>
      <w:iCs w:val="0"/>
    </w:rPr>
  </w:style>
  <w:style w:type="character" w:styleId="Hiperligao">
    <w:name w:val="Hyperlink"/>
    <w:basedOn w:val="Tipodeletrapredefinidodopargrafo"/>
    <w:uiPriority w:val="99"/>
    <w:unhideWhenUsed/>
    <w:rsid w:val="00DC49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Tipodeletrapredefinidodopargrafo"/>
    <w:rsid w:val="00DC49CA"/>
  </w:style>
  <w:style w:type="character" w:styleId="nfase">
    <w:name w:val="Emphasis"/>
    <w:basedOn w:val="Tipodeletrapredefinidodopargrafo"/>
    <w:uiPriority w:val="20"/>
    <w:qFormat/>
    <w:rsid w:val="00DC49CA"/>
    <w:rPr>
      <w:b/>
      <w:bCs/>
      <w:i w:val="0"/>
      <w:iCs w:val="0"/>
    </w:rPr>
  </w:style>
  <w:style w:type="character" w:styleId="Hiperligao">
    <w:name w:val="Hyperlink"/>
    <w:basedOn w:val="Tipodeletrapredefinidodopargrafo"/>
    <w:uiPriority w:val="99"/>
    <w:unhideWhenUsed/>
    <w:rsid w:val="00DC4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patraoneves.p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2944</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Patrao Neves</dc:creator>
  <cp:keywords/>
  <dc:description/>
  <cp:lastModifiedBy>Patrao Neves</cp:lastModifiedBy>
  <cp:revision>2</cp:revision>
  <dcterms:created xsi:type="dcterms:W3CDTF">2017-02-10T10:10:00Z</dcterms:created>
  <dcterms:modified xsi:type="dcterms:W3CDTF">2017-02-10T10:11:00Z</dcterms:modified>
</cp:coreProperties>
</file>